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2149B">
      <w:pPr>
        <w:pStyle w:val="2"/>
        <w:rPr>
          <w:rFonts w:ascii="宋体" w:hAnsi="宋体" w:cs="宋体"/>
          <w:color w:val="000000"/>
          <w:highlight w:val="none"/>
        </w:rPr>
      </w:pPr>
      <w:bookmarkStart w:id="0" w:name="_Toc19051"/>
      <w:r>
        <w:rPr>
          <w:rFonts w:hint="eastAsia" w:ascii="宋体" w:hAnsi="宋体" w:cs="宋体"/>
          <w:color w:val="000000"/>
          <w:highlight w:val="none"/>
        </w:rPr>
        <w:t>第三章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highlight w:val="none"/>
        </w:rPr>
        <w:t xml:space="preserve"> 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货物</w:t>
      </w:r>
      <w:r>
        <w:rPr>
          <w:rFonts w:hint="eastAsia" w:ascii="宋体" w:hAnsi="宋体" w:cs="宋体"/>
          <w:color w:val="000000"/>
          <w:highlight w:val="none"/>
        </w:rPr>
        <w:t>需求及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>技术</w:t>
      </w:r>
      <w:r>
        <w:rPr>
          <w:rFonts w:hint="eastAsia" w:ascii="宋体" w:hAnsi="宋体" w:cs="宋体"/>
          <w:color w:val="000000"/>
          <w:highlight w:val="none"/>
        </w:rPr>
        <w:t>要求</w:t>
      </w:r>
      <w:bookmarkEnd w:id="0"/>
    </w:p>
    <w:p w14:paraId="37A6FA24">
      <w:pPr>
        <w:widowControl/>
        <w:spacing w:line="500" w:lineRule="exact"/>
        <w:ind w:firstLine="430"/>
        <w:jc w:val="left"/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</w:pPr>
      <w:bookmarkStart w:id="1" w:name="_Toc7241"/>
      <w:bookmarkStart w:id="2" w:name="_Toc20302"/>
      <w:r>
        <w:rPr>
          <w:rFonts w:hint="eastAsia" w:ascii="宋体" w:hAnsi="宋体"/>
          <w:b/>
          <w:bCs/>
          <w:szCs w:val="21"/>
          <w:highlight w:val="none"/>
        </w:rPr>
        <w:t>为鼓励不同品牌的充分竞争，如某设备的某技术参数或要求属于个别品牌专有，则该技术参数及要求不具有限制性，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b/>
          <w:bCs/>
          <w:szCs w:val="21"/>
          <w:highlight w:val="none"/>
        </w:rPr>
        <w:t>人可对该参数或要求进行适当调整，但这种调整整体上要优于或相当于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谈判</w:t>
      </w:r>
      <w:r>
        <w:rPr>
          <w:rFonts w:hint="eastAsia" w:ascii="宋体" w:hAnsi="宋体"/>
          <w:b/>
          <w:bCs/>
          <w:szCs w:val="21"/>
          <w:highlight w:val="none"/>
        </w:rPr>
        <w:t>文件的相关要求，并说明调整理由，且该调整须经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谈判小组</w:t>
      </w:r>
      <w:r>
        <w:rPr>
          <w:rFonts w:hint="eastAsia" w:ascii="宋体" w:hAnsi="宋体"/>
          <w:b/>
          <w:bCs/>
          <w:szCs w:val="21"/>
          <w:highlight w:val="none"/>
        </w:rPr>
        <w:t>审核认可。</w:t>
      </w:r>
    </w:p>
    <w:p w14:paraId="37A14BA7">
      <w:pPr>
        <w:ind w:firstLine="482" w:firstLineChars="200"/>
        <w:rPr>
          <w:rFonts w:ascii="宋体" w:hAnsi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  <w:t>一、商务要求：</w:t>
      </w:r>
    </w:p>
    <w:tbl>
      <w:tblPr>
        <w:tblStyle w:val="6"/>
        <w:tblW w:w="8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077"/>
        <w:gridCol w:w="5658"/>
      </w:tblGrid>
      <w:tr w14:paraId="1F4A3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08" w:type="dxa"/>
            <w:vAlign w:val="center"/>
          </w:tcPr>
          <w:p w14:paraId="3F5DF1AC">
            <w:pPr>
              <w:pStyle w:val="4"/>
              <w:jc w:val="center"/>
              <w:rPr>
                <w:rFonts w:cs="Wingdings" w:asciiTheme="minorEastAsia" w:hAnsiTheme="minorEastAsia"/>
                <w:b/>
                <w:color w:val="auto"/>
                <w:sz w:val="24"/>
                <w:highlight w:val="none"/>
              </w:rPr>
            </w:pPr>
            <w:r>
              <w:rPr>
                <w:rFonts w:hint="eastAsia" w:cs="Wingdings" w:asciiTheme="minorEastAsia" w:hAnsiTheme="minorEastAsia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077" w:type="dxa"/>
            <w:vAlign w:val="center"/>
          </w:tcPr>
          <w:p w14:paraId="6A534558">
            <w:pPr>
              <w:pStyle w:val="4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  <w:t>商务条款名称</w:t>
            </w:r>
          </w:p>
        </w:tc>
        <w:tc>
          <w:tcPr>
            <w:tcW w:w="5658" w:type="dxa"/>
            <w:vAlign w:val="center"/>
          </w:tcPr>
          <w:p w14:paraId="5DB43298">
            <w:pPr>
              <w:pStyle w:val="4"/>
              <w:jc w:val="center"/>
              <w:rPr>
                <w:rFonts w:cs="Wingdings" w:asciiTheme="minorEastAsia" w:hAnsiTheme="minorEastAsia"/>
                <w:b/>
                <w:color w:val="auto"/>
                <w:sz w:val="24"/>
                <w:highlight w:val="none"/>
              </w:rPr>
            </w:pPr>
            <w:r>
              <w:rPr>
                <w:rFonts w:hint="eastAsia" w:cs="Wingdings" w:asciiTheme="minorEastAsia" w:hAnsiTheme="minorEastAsia"/>
                <w:b/>
                <w:color w:val="auto"/>
                <w:sz w:val="24"/>
                <w:highlight w:val="none"/>
              </w:rPr>
              <w:t>具体要求内容</w:t>
            </w:r>
          </w:p>
        </w:tc>
      </w:tr>
      <w:tr w14:paraId="79B2C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808" w:type="dxa"/>
            <w:vAlign w:val="center"/>
          </w:tcPr>
          <w:p w14:paraId="62FEAE9D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2077" w:type="dxa"/>
            <w:vAlign w:val="center"/>
          </w:tcPr>
          <w:p w14:paraId="67FAD2E1"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  <w:t>付款方式</w:t>
            </w:r>
          </w:p>
        </w:tc>
        <w:tc>
          <w:tcPr>
            <w:tcW w:w="5658" w:type="dxa"/>
            <w:vAlign w:val="center"/>
          </w:tcPr>
          <w:p w14:paraId="47B2AEBF">
            <w:pPr>
              <w:spacing w:line="360" w:lineRule="auto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合同签订并完成交付安装后,经建设单位、使用单位、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审计</w:t>
            </w: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单位联合验收合格后付至合同总额的80%，联合验收合格或结算审核（如有）完成之日起，空调稳定运行一年后付至合同总额的97%，余款于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三</w:t>
            </w: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年质保期满后付清(无息)。</w:t>
            </w:r>
          </w:p>
        </w:tc>
      </w:tr>
      <w:tr w14:paraId="72C53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19222864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2077" w:type="dxa"/>
            <w:vAlign w:val="center"/>
          </w:tcPr>
          <w:p w14:paraId="7057A6FB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供货及安装地点</w:t>
            </w:r>
          </w:p>
        </w:tc>
        <w:tc>
          <w:tcPr>
            <w:tcW w:w="5658" w:type="dxa"/>
            <w:vAlign w:val="center"/>
          </w:tcPr>
          <w:p w14:paraId="0AC7391D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安庆滨江新区高新技术中小企业孵化中心二期B-4#楼</w:t>
            </w:r>
          </w:p>
        </w:tc>
      </w:tr>
      <w:tr w14:paraId="5E78A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448BF459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2077" w:type="dxa"/>
            <w:vAlign w:val="center"/>
          </w:tcPr>
          <w:p w14:paraId="148262B7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供货及安装期限</w:t>
            </w:r>
          </w:p>
        </w:tc>
        <w:tc>
          <w:tcPr>
            <w:tcW w:w="5658" w:type="dxa"/>
            <w:vAlign w:val="center"/>
          </w:tcPr>
          <w:p w14:paraId="33A9858A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合同签订后7日历天内完成</w:t>
            </w:r>
          </w:p>
        </w:tc>
      </w:tr>
      <w:tr w14:paraId="2C9B4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808" w:type="dxa"/>
            <w:vAlign w:val="center"/>
          </w:tcPr>
          <w:p w14:paraId="772E4FD5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2077" w:type="dxa"/>
            <w:vAlign w:val="center"/>
          </w:tcPr>
          <w:p w14:paraId="03D9FF9B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免费质保期</w:t>
            </w:r>
          </w:p>
        </w:tc>
        <w:tc>
          <w:tcPr>
            <w:tcW w:w="5658" w:type="dxa"/>
            <w:vAlign w:val="center"/>
          </w:tcPr>
          <w:p w14:paraId="6B520CB5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整机保修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三</w:t>
            </w: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年，主要部件（压缩机）保修6年。质保期从设备安装调试完成并验收合格之日起计算</w:t>
            </w:r>
          </w:p>
        </w:tc>
      </w:tr>
      <w:tr w14:paraId="3AB62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400CB468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2077" w:type="dxa"/>
            <w:vAlign w:val="center"/>
          </w:tcPr>
          <w:p w14:paraId="07B37446">
            <w:pPr>
              <w:jc w:val="center"/>
              <w:rPr>
                <w:rFonts w:hint="default" w:ascii="宋体" w:hAnsi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商品包装要求</w:t>
            </w:r>
          </w:p>
        </w:tc>
        <w:tc>
          <w:tcPr>
            <w:tcW w:w="5658" w:type="dxa"/>
            <w:vAlign w:val="center"/>
          </w:tcPr>
          <w:p w14:paraId="2911A289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除另有约定外</w:t>
            </w:r>
            <w:r>
              <w:rPr>
                <w:rFonts w:hint="eastAsia" w:ascii="sans-serif" w:hAnsi="sans-serif" w:cs="sans-serif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供应商交付全部货物的包装要求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严格按照国家强制标准执行。</w:t>
            </w:r>
          </w:p>
        </w:tc>
      </w:tr>
    </w:tbl>
    <w:p w14:paraId="25DEE7E3">
      <w:pPr>
        <w:ind w:firstLine="422" w:firstLineChars="200"/>
        <w:rPr>
          <w:rFonts w:ascii="宋体" w:hAnsi="宋体"/>
          <w:b/>
          <w:bCs/>
          <w:color w:val="auto"/>
          <w:szCs w:val="21"/>
          <w:highlight w:val="none"/>
        </w:rPr>
      </w:pPr>
    </w:p>
    <w:p w14:paraId="451733A5">
      <w:pPr>
        <w:pStyle w:val="3"/>
        <w:tabs>
          <w:tab w:val="left" w:pos="2730"/>
        </w:tabs>
        <w:ind w:firstLine="472" w:firstLineChars="196"/>
        <w:rPr>
          <w:rFonts w:hAnsi="宋体"/>
          <w:bCs/>
          <w:color w:val="auto"/>
          <w:szCs w:val="24"/>
          <w:highlight w:val="none"/>
        </w:rPr>
      </w:pPr>
      <w:r>
        <w:rPr>
          <w:rFonts w:hint="eastAsia" w:hAnsi="宋体"/>
          <w:bCs/>
          <w:color w:val="auto"/>
          <w:szCs w:val="24"/>
          <w:highlight w:val="none"/>
        </w:rPr>
        <w:t>二、技术要求一览表</w:t>
      </w:r>
    </w:p>
    <w:tbl>
      <w:tblPr>
        <w:tblStyle w:val="6"/>
        <w:tblW w:w="9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050"/>
        <w:gridCol w:w="6743"/>
        <w:gridCol w:w="675"/>
        <w:gridCol w:w="629"/>
      </w:tblGrid>
      <w:tr w14:paraId="75B6D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3740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9487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货物名称</w:t>
            </w:r>
          </w:p>
        </w:tc>
        <w:tc>
          <w:tcPr>
            <w:tcW w:w="6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726F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技术参数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要求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2ED4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5ECAA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数量</w:t>
            </w:r>
          </w:p>
        </w:tc>
      </w:tr>
      <w:tr w14:paraId="51DA9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DA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00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10P空调</w:t>
            </w:r>
          </w:p>
        </w:tc>
        <w:tc>
          <w:tcPr>
            <w:tcW w:w="67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C7070">
            <w:pPr>
              <w:pStyle w:val="2"/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空调类型 变频，冷暖型；</w:t>
            </w:r>
          </w:p>
          <w:p w14:paraId="28DF336C">
            <w:pPr>
              <w:pStyle w:val="2"/>
              <w:numPr>
                <w:ilvl w:val="0"/>
                <w:numId w:val="1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能效等级为1级或2级；</w:t>
            </w:r>
          </w:p>
          <w:p w14:paraId="7F1BF2E5">
            <w:pPr>
              <w:pStyle w:val="2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3、额定制冷量≥26000W；</w:t>
            </w:r>
          </w:p>
          <w:p w14:paraId="078CBFBC">
            <w:pPr>
              <w:pStyle w:val="2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4、制冷功率≤9800W；</w:t>
            </w:r>
          </w:p>
          <w:p w14:paraId="5BBA3816">
            <w:pPr>
              <w:pStyle w:val="2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5、额定制热量≥28000W；</w:t>
            </w:r>
          </w:p>
          <w:p w14:paraId="46EA8C2C">
            <w:pPr>
              <w:pStyle w:val="2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6、制热功率≤8700W；</w:t>
            </w:r>
          </w:p>
          <w:p w14:paraId="67EB61A2">
            <w:pPr>
              <w:pStyle w:val="2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7、循环风量≥4400(m³/h)；</w:t>
            </w:r>
          </w:p>
          <w:p w14:paraId="3D3EE8C8">
            <w:pPr>
              <w:pStyle w:val="2"/>
              <w:jc w:val="both"/>
              <w:rPr>
                <w:rFonts w:hint="eastAsia" w:ascii="宋体" w:hAnsi="宋体" w:eastAsia="宋体" w:cs="宋体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8、全年能源消耗效率APF≥3.3。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26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台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0A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10</w:t>
            </w:r>
          </w:p>
        </w:tc>
      </w:tr>
      <w:tr w14:paraId="33AC5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0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23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3P空调</w:t>
            </w:r>
          </w:p>
        </w:tc>
        <w:tc>
          <w:tcPr>
            <w:tcW w:w="6743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C5441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空调类型 变频，冷暖型，落地式柜机变频；</w:t>
            </w:r>
          </w:p>
          <w:p w14:paraId="2F5A9FA6"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2、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能效等级为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1级或2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级</w:t>
            </w:r>
          </w:p>
          <w:p w14:paraId="7DDF40E0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3、制冷量（W）≥ 7200；</w:t>
            </w:r>
          </w:p>
          <w:p w14:paraId="15631C05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4、制冷功率（W）≤2000；</w:t>
            </w:r>
          </w:p>
          <w:p w14:paraId="49FFA11A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5、制热量（W）≥  9800；</w:t>
            </w:r>
          </w:p>
          <w:p w14:paraId="03EE4898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6、制热功率（W）≤ 3000；</w:t>
            </w:r>
          </w:p>
          <w:p w14:paraId="456BA0CD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7、循环风量（m3/h）≥ 1500；</w:t>
            </w:r>
          </w:p>
          <w:p w14:paraId="6C276329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8、全年能源消耗效率APF≥3.7；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E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台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BA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</w:t>
            </w:r>
          </w:p>
        </w:tc>
      </w:tr>
      <w:tr w14:paraId="4BC07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F7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E1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1.5P空调</w:t>
            </w:r>
          </w:p>
        </w:tc>
        <w:tc>
          <w:tcPr>
            <w:tcW w:w="67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3C10E"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空调类型 变频，冷暖型；</w:t>
            </w:r>
          </w:p>
          <w:p w14:paraId="1869EB4A"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能效等级为1级或2级；</w:t>
            </w:r>
          </w:p>
          <w:p w14:paraId="38506DC9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3、额定制冷量≥3500W；</w:t>
            </w:r>
          </w:p>
          <w:p w14:paraId="6D8576F0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4、制冷功率≤850W；</w:t>
            </w:r>
          </w:p>
          <w:p w14:paraId="7C0ADD57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5、额定制热量≥5000W；</w:t>
            </w:r>
          </w:p>
          <w:p w14:paraId="04153EE9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6、制热功率≤1300W；</w:t>
            </w:r>
          </w:p>
          <w:p w14:paraId="40E07D5C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7、循环风量≥700(m³/h)；</w:t>
            </w:r>
          </w:p>
          <w:p w14:paraId="6497BE22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8、全年能源消耗效率APF≥4.5。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63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台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7B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</w:t>
            </w:r>
          </w:p>
        </w:tc>
      </w:tr>
      <w:tr w14:paraId="759FD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96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88254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说明：</w:t>
            </w:r>
          </w:p>
          <w:p w14:paraId="5BD58684">
            <w:pPr>
              <w:pStyle w:val="2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1、整箭装配厂房的空调系统需满足以下基本要求：厂房体积：33600立方米，重点关注5米高度范围内的温湿度控制。</w:t>
            </w:r>
          </w:p>
          <w:p w14:paraId="232951D8">
            <w:pPr>
              <w:pStyle w:val="2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安装规范：严格按照GB 50243-2016标准执行，确保系统密封性和运行效率。</w:t>
            </w:r>
          </w:p>
          <w:p w14:paraId="410E8134">
            <w:pPr>
              <w:pStyle w:val="2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通过以上措施，可以为整箭装配厂房提供适宜的温湿度环境，保障生产效率和产品质量。</w:t>
            </w:r>
          </w:p>
          <w:p w14:paraId="0A71E085">
            <w:pPr>
              <w:pStyle w:val="2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2、报价时应考虑空调安装时所需电源线材及施工安装，其响应报价应包含设备费、安装配件及辅材费、运输费、高空作业费、维保费、安装调试费、现场搬运费、税金等为完成本项目所发生的一切费用。其安装配件及辅材包括但不限于加长铜管、外机支架、电线线缆、空调插座、开关及开孔封堵（含墙面清理）等。供货安装需符合相关安全规定，安全责任成交方自负。</w:t>
            </w:r>
          </w:p>
          <w:p w14:paraId="0F651910">
            <w:pPr>
              <w:pStyle w:val="2"/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  <w:t>整机保修三年，主要部件（压缩机）保修6年。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质保期内，需提供7*24小时的免费电话咨询服务支持，对于用户的售后服务请求须在12小时内上门服务；首年只换不修。在质保期内因设备重大质量原因而需要更换或维修的，须在48小时内完成，以保证设备的正常运行。在设备免费质保期内，因设备制造原因出现的任何质量问题，成交人应负责更换或维修，由此产生的一切费用由成交人承担。若在约定时间内无人上门解决问题，逾期采购人有权请第三方专业维修人员进行维修，相关费用将从货款中扣除，如通过维修仍无法正常使用，采购人有权退货或要求更换。</w:t>
            </w:r>
          </w:p>
          <w:p w14:paraId="4E99647E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响应人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文件必须标明所投货物的品牌与参数，保证原厂正品供货。</w:t>
            </w:r>
          </w:p>
          <w:p w14:paraId="0B34C24D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5、所有技术参数及要求采购人验收时将逐条核对，如发现与实际情况不符、虚假响应等，采购人有权报监管部门并追究违约责任。</w:t>
            </w:r>
          </w:p>
          <w:p w14:paraId="3DE8A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6、响应人应按照谈判文件要求提供证明材料。若响应人提供了竞争性谈判文件未要求的证明材料，谈判小组将不予评审。响应人提供的证明材料须清晰地反映评审内容，如因材料模糊不清，导致谈判小组无法辨认的，谈判小组可以不予认可，一切后果由响应人自行承担。</w:t>
            </w:r>
          </w:p>
        </w:tc>
      </w:tr>
    </w:tbl>
    <w:p w14:paraId="2C688133">
      <w:pPr>
        <w:pStyle w:val="3"/>
        <w:tabs>
          <w:tab w:val="left" w:pos="2730"/>
        </w:tabs>
        <w:ind w:firstLine="472" w:firstLineChars="196"/>
        <w:rPr>
          <w:rFonts w:hint="eastAsia"/>
          <w:color w:val="auto"/>
          <w:sz w:val="24"/>
          <w:szCs w:val="24"/>
          <w:highlight w:val="none"/>
        </w:rPr>
      </w:pPr>
    </w:p>
    <w:p w14:paraId="12BFB303">
      <w:pPr>
        <w:pStyle w:val="3"/>
        <w:tabs>
          <w:tab w:val="left" w:pos="2730"/>
        </w:tabs>
        <w:ind w:firstLine="472" w:firstLineChars="196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三、人员培训要求</w:t>
      </w:r>
    </w:p>
    <w:p w14:paraId="2CCF6DC3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货物安装、调试、验收合格后，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成交人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应对采购人的相关人员进行免费现场培训。培训内容包括基本操作、保养维修、常见故障及解决办法等。</w:t>
      </w:r>
    </w:p>
    <w:p w14:paraId="4FC8308D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四、货物质量及售后服务要求</w:t>
      </w:r>
    </w:p>
    <w:p w14:paraId="5E10F43D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1、货物质量：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人提供的货物必须是全新、原装、合格正品，完全符合国家规定的质量标准和厂方的标准。货物完好，配件齐全。</w:t>
      </w:r>
    </w:p>
    <w:p w14:paraId="610F5816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2、保修及售后服务：依据商品的保修条款及售后服务条款，提供原厂质保，质保期按照国家规定，且不低于所供品牌向用户承诺的质保期限，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谈判文件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另有约定的从其约定。质保期从货物验收合格后算起。</w:t>
      </w:r>
    </w:p>
    <w:p w14:paraId="5AE109EB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 xml:space="preserve">五、验收     </w:t>
      </w:r>
    </w:p>
    <w:p w14:paraId="29B8A5D3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ind w:firstLine="405"/>
        <w:jc w:val="left"/>
        <w:textAlignment w:val="auto"/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人和采购人双方共同实施验收工作，结果和验收报告经双方确认后生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效。</w:t>
      </w:r>
      <w:bookmarkEnd w:id="1"/>
      <w:bookmarkEnd w:id="2"/>
      <w:bookmarkStart w:id="3" w:name="_GoBack"/>
      <w:bookmarkEnd w:id="3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DD667D">
    <w:pPr>
      <w:pStyle w:val="5"/>
      <w:pBdr>
        <w:top w:val="single" w:color="auto" w:sz="4" w:space="1"/>
      </w:pBdr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84C95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864O8kBAACZAwAADgAAAGRycy9lMm9Eb2MueG1srVPNjtMwEL4j8Q6W&#10;79RpB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mJ4xYHfvn+7fLj1+XnV/Iq&#10;t6cPUGPWXcC8NLz1Ay7N7Ad0ZtWDijZ/UQ/BODb3fG2uHBIR+dF6tV5XGBIYmy+Izx6ehwjpnfSW&#10;ZKOhEadXmspPHyCNqXNKrub8rTamTNC4vxyImT0scx85ZisN+2EStPftGfX0OPiGOtxzSsx7h33N&#10;OzIbcTb2s3EMUR86pLYsvCC8OSYkUbjlCiPsVBgnVtRN25VX4s97yXr4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rzrg7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84C95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B9F4F">
    <w:r>
      <w:rPr>
        <w:rFonts w:hint="eastAsia"/>
      </w:rPr>
      <w:t xml:space="preserve">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FA1CF3"/>
    <w:multiLevelType w:val="singleLevel"/>
    <w:tmpl w:val="8DFA1CF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55E5D5B"/>
    <w:multiLevelType w:val="singleLevel"/>
    <w:tmpl w:val="F55E5D5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16AF8"/>
    <w:rsid w:val="69B1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2025-02-26T03:02:00Z</dcterms:created>
  <dc:creator>NTKO</dc:creator>
  <cp:lastModifiedBy>NTKO</cp:lastModifiedBy>
  <dcterms:modified xsi:type="dcterms:W3CDTF">2025-02-26T03:02:30Z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6D60AB79D5A1498BA0A1B6806453F3F5_11</vt:lpwstr>
  </property>
  <property fmtid="{D5CDD505-2E9C-101B-9397-08002B2CF9AE}" pid="4" name="KSOTemplateDocerSaveRecord">
    <vt:lpwstr>eyJoZGlkIjoiYTg0MTM2OTgzZWYzMDE3ZjJjZDgyMzM1Y2M5NTYyZGIiLCJ1c2VySWQiOiI4MDc5MDQxNzAifQ==</vt:lpwstr>
  </property>
</Properties>
</file>